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2"/>
          <w:szCs w:val="22"/>
        </w:rPr>
      </w:pPr>
      <w:r>
        <w:rPr>
          <w:b/>
          <w:sz w:val="22"/>
          <w:szCs w:val="22"/>
        </w:rPr>
        <w:t>BALASAHEB DESAI COLEGE, PATAN</w:t>
      </w:r>
    </w:p>
    <w:p>
      <w:pPr>
        <w:jc w:val="center"/>
        <w:rPr>
          <w:rFonts w:hint="default"/>
          <w:b/>
          <w:sz w:val="22"/>
          <w:szCs w:val="22"/>
          <w:lang w:val="en-IN"/>
        </w:rPr>
      </w:pPr>
      <w:r>
        <w:rPr>
          <w:b/>
          <w:sz w:val="22"/>
          <w:szCs w:val="22"/>
        </w:rPr>
        <w:t xml:space="preserve">DEPARTMENT OF </w:t>
      </w:r>
      <w:r>
        <w:rPr>
          <w:rFonts w:hint="default"/>
          <w:b/>
          <w:sz w:val="22"/>
          <w:szCs w:val="22"/>
          <w:lang w:val="en-IN"/>
        </w:rPr>
        <w:t>PHYSICS</w:t>
      </w:r>
    </w:p>
    <w:p>
      <w:pPr>
        <w:jc w:val="center"/>
        <w:rPr>
          <w:b/>
          <w:sz w:val="22"/>
          <w:szCs w:val="22"/>
        </w:rPr>
      </w:pPr>
      <w:r>
        <w:rPr>
          <w:rFonts w:hint="default"/>
          <w:b/>
          <w:sz w:val="22"/>
          <w:szCs w:val="22"/>
          <w:lang w:val="en-IN"/>
        </w:rPr>
        <w:t>MONTHLY</w:t>
      </w:r>
      <w:r>
        <w:rPr>
          <w:b/>
          <w:sz w:val="22"/>
          <w:szCs w:val="22"/>
        </w:rPr>
        <w:t xml:space="preserve"> TEACHING  PLAN </w:t>
      </w:r>
    </w:p>
    <w:p>
      <w:pPr>
        <w:jc w:val="center"/>
        <w:rPr>
          <w:b/>
          <w:sz w:val="22"/>
          <w:szCs w:val="22"/>
        </w:rPr>
      </w:pPr>
      <w:r>
        <w:rPr>
          <w:b/>
          <w:sz w:val="22"/>
          <w:szCs w:val="22"/>
        </w:rPr>
        <w:t>Academic Year 2023-2024</w:t>
      </w:r>
    </w:p>
    <w:p>
      <w:pPr>
        <w:jc w:val="center"/>
        <w:rPr>
          <w:rFonts w:hint="default"/>
          <w:b/>
          <w:sz w:val="22"/>
          <w:szCs w:val="22"/>
          <w:lang w:val="en-IN"/>
        </w:rPr>
      </w:pPr>
      <w:r>
        <w:rPr>
          <w:b/>
          <w:sz w:val="22"/>
          <w:szCs w:val="22"/>
        </w:rPr>
        <w:t xml:space="preserve">Semester </w:t>
      </w:r>
      <w:r>
        <w:rPr>
          <w:rFonts w:hint="default"/>
          <w:b/>
          <w:sz w:val="22"/>
          <w:szCs w:val="22"/>
          <w:lang w:val="en-IN"/>
        </w:rPr>
        <w:t>VI</w:t>
      </w:r>
    </w:p>
    <w:p>
      <w:pPr>
        <w:rPr>
          <w:b/>
          <w:sz w:val="22"/>
          <w:szCs w:val="22"/>
        </w:rPr>
      </w:pPr>
      <w:r>
        <w:rPr>
          <w:b/>
          <w:sz w:val="22"/>
          <w:szCs w:val="22"/>
        </w:rPr>
        <w:t>Class: B.Sc. I</w:t>
      </w:r>
      <w:r>
        <w:rPr>
          <w:rFonts w:hint="default"/>
          <w:b/>
          <w:sz w:val="22"/>
          <w:szCs w:val="22"/>
          <w:lang w:val="en-IN"/>
        </w:rPr>
        <w:t>II</w:t>
      </w:r>
      <w:r>
        <w:rPr>
          <w:rFonts w:hint="default"/>
          <w:b/>
          <w:sz w:val="22"/>
          <w:szCs w:val="22"/>
          <w:lang w:val="en-IN"/>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Paper No.: </w:t>
      </w:r>
      <w:r>
        <w:rPr>
          <w:rFonts w:hint="default"/>
          <w:b/>
          <w:sz w:val="22"/>
          <w:szCs w:val="22"/>
          <w:lang w:val="en-IN"/>
        </w:rPr>
        <w:t xml:space="preserve">XVI </w:t>
      </w:r>
      <w:r>
        <w:rPr>
          <w:b/>
          <w:sz w:val="22"/>
          <w:szCs w:val="22"/>
        </w:rPr>
        <w:t>(Theory)</w:t>
      </w:r>
    </w:p>
    <w:p>
      <w:pPr>
        <w:rPr>
          <w:b/>
          <w:sz w:val="16"/>
          <w:szCs w:val="16"/>
        </w:rPr>
      </w:pPr>
      <w:r>
        <w:rPr>
          <w:rFonts w:ascii="Times New Roman" w:hAnsi="Times New Roman" w:cs="Times New Roman"/>
          <w:b/>
          <w:bCs/>
          <w:sz w:val="24"/>
          <w:szCs w:val="22"/>
        </w:rPr>
        <w:t xml:space="preserve">Paper Title: </w:t>
      </w:r>
      <w:r>
        <w:rPr>
          <w:rFonts w:ascii="Times New Roman" w:hAnsi="Times New Roman" w:cs="Times New Roman"/>
          <w:b/>
          <w:bCs/>
          <w:sz w:val="24"/>
          <w:szCs w:val="24"/>
        </w:rPr>
        <w:t>ENERGY STUDIES AND MATERIALS SCIENCE</w:t>
      </w:r>
    </w:p>
    <w:tbl>
      <w:tblPr>
        <w:tblStyle w:val="3"/>
        <w:tblW w:w="9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00"/>
        <w:gridCol w:w="810"/>
        <w:gridCol w:w="1800"/>
        <w:gridCol w:w="5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0" w:type="dxa"/>
          </w:tcPr>
          <w:p>
            <w:pPr>
              <w:rPr>
                <w:b/>
                <w:sz w:val="24"/>
                <w:szCs w:val="24"/>
              </w:rPr>
            </w:pPr>
            <w:r>
              <w:rPr>
                <w:b/>
                <w:sz w:val="24"/>
                <w:szCs w:val="24"/>
              </w:rPr>
              <w:t>Month</w:t>
            </w:r>
          </w:p>
        </w:tc>
        <w:tc>
          <w:tcPr>
            <w:tcW w:w="900" w:type="dxa"/>
          </w:tcPr>
          <w:p>
            <w:pPr>
              <w:rPr>
                <w:b/>
                <w:sz w:val="24"/>
                <w:szCs w:val="24"/>
              </w:rPr>
            </w:pPr>
            <w:r>
              <w:rPr>
                <w:b/>
                <w:sz w:val="24"/>
                <w:szCs w:val="24"/>
              </w:rPr>
              <w:t xml:space="preserve">No. of </w:t>
            </w:r>
          </w:p>
          <w:p>
            <w:pPr>
              <w:rPr>
                <w:b/>
                <w:sz w:val="24"/>
                <w:szCs w:val="24"/>
              </w:rPr>
            </w:pPr>
            <w:r>
              <w:rPr>
                <w:b/>
                <w:sz w:val="24"/>
                <w:szCs w:val="24"/>
              </w:rPr>
              <w:t>Teaching Days</w:t>
            </w:r>
          </w:p>
        </w:tc>
        <w:tc>
          <w:tcPr>
            <w:tcW w:w="810" w:type="dxa"/>
          </w:tcPr>
          <w:p>
            <w:pPr>
              <w:rPr>
                <w:b/>
                <w:sz w:val="24"/>
                <w:szCs w:val="24"/>
              </w:rPr>
            </w:pPr>
            <w:r>
              <w:rPr>
                <w:b/>
                <w:sz w:val="24"/>
                <w:szCs w:val="24"/>
              </w:rPr>
              <w:t>Periods Allotted</w:t>
            </w:r>
          </w:p>
        </w:tc>
        <w:tc>
          <w:tcPr>
            <w:tcW w:w="1800" w:type="dxa"/>
          </w:tcPr>
          <w:p>
            <w:pPr>
              <w:jc w:val="center"/>
              <w:rPr>
                <w:b/>
                <w:sz w:val="24"/>
                <w:szCs w:val="24"/>
              </w:rPr>
            </w:pPr>
            <w:r>
              <w:rPr>
                <w:b/>
                <w:sz w:val="24"/>
                <w:szCs w:val="24"/>
              </w:rPr>
              <w:t>Unit / Topic</w:t>
            </w:r>
          </w:p>
        </w:tc>
        <w:tc>
          <w:tcPr>
            <w:tcW w:w="5480" w:type="dxa"/>
          </w:tcPr>
          <w:p>
            <w:pPr>
              <w:jc w:val="center"/>
              <w:rPr>
                <w:b/>
                <w:sz w:val="24"/>
                <w:szCs w:val="24"/>
              </w:rPr>
            </w:pPr>
            <w:r>
              <w:rPr>
                <w:b/>
                <w:sz w:val="24"/>
                <w:szCs w:val="24"/>
              </w:rPr>
              <w:t>Sub</w:t>
            </w:r>
            <w:r>
              <w:rPr>
                <w:rFonts w:hint="default"/>
                <w:b/>
                <w:sz w:val="24"/>
                <w:szCs w:val="24"/>
                <w:lang w:val="en-IN"/>
              </w:rPr>
              <w:t>-</w:t>
            </w:r>
            <w:r>
              <w:rPr>
                <w:b/>
                <w:sz w:val="24"/>
                <w:szCs w:val="24"/>
              </w:rPr>
              <w:t>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990" w:type="dxa"/>
            <w:vAlign w:val="center"/>
          </w:tcPr>
          <w:p>
            <w:pPr>
              <w:jc w:val="center"/>
              <w:rPr>
                <w:rFonts w:hint="default"/>
                <w:b w:val="0"/>
                <w:bCs/>
                <w:sz w:val="24"/>
                <w:szCs w:val="24"/>
                <w:lang w:val="en-IN"/>
              </w:rPr>
            </w:pPr>
            <w:r>
              <w:rPr>
                <w:rFonts w:hint="default"/>
                <w:b w:val="0"/>
                <w:bCs/>
                <w:sz w:val="24"/>
                <w:szCs w:val="24"/>
                <w:lang w:val="en-IN"/>
              </w:rPr>
              <w:t>December</w:t>
            </w:r>
          </w:p>
        </w:tc>
        <w:tc>
          <w:tcPr>
            <w:tcW w:w="900" w:type="dxa"/>
            <w:vAlign w:val="center"/>
          </w:tcPr>
          <w:p>
            <w:pPr>
              <w:jc w:val="center"/>
              <w:rPr>
                <w:rFonts w:hint="default"/>
                <w:b w:val="0"/>
                <w:bCs/>
                <w:sz w:val="24"/>
                <w:szCs w:val="24"/>
                <w:lang w:val="en-IN"/>
              </w:rPr>
            </w:pPr>
            <w:r>
              <w:rPr>
                <w:rFonts w:hint="default"/>
                <w:b w:val="0"/>
                <w:bCs/>
                <w:sz w:val="24"/>
                <w:szCs w:val="24"/>
                <w:lang w:val="en-IN"/>
              </w:rPr>
              <w:t>10</w:t>
            </w:r>
          </w:p>
        </w:tc>
        <w:tc>
          <w:tcPr>
            <w:tcW w:w="810" w:type="dxa"/>
            <w:vAlign w:val="center"/>
          </w:tcPr>
          <w:p>
            <w:pPr>
              <w:jc w:val="center"/>
              <w:rPr>
                <w:rFonts w:hint="default"/>
                <w:b w:val="0"/>
                <w:bCs/>
                <w:sz w:val="24"/>
                <w:szCs w:val="24"/>
                <w:lang w:val="en-IN"/>
              </w:rPr>
            </w:pPr>
            <w:r>
              <w:rPr>
                <w:rFonts w:hint="default"/>
                <w:b w:val="0"/>
                <w:bCs/>
                <w:sz w:val="24"/>
                <w:szCs w:val="24"/>
                <w:lang w:val="en-IN"/>
              </w:rPr>
              <w:t>21</w:t>
            </w:r>
          </w:p>
        </w:tc>
        <w:tc>
          <w:tcPr>
            <w:tcW w:w="1800" w:type="dxa"/>
            <w:vAlign w:val="center"/>
          </w:tcPr>
          <w:p>
            <w:pPr>
              <w:spacing w:after="0" w:line="240" w:lineRule="auto"/>
              <w:jc w:val="left"/>
              <w:rPr>
                <w:rFonts w:ascii="Times New Roman" w:hAnsi="Times New Roman" w:cs="Times New Roman" w:eastAsiaTheme="minorHAnsi"/>
                <w:b/>
                <w:bCs/>
                <w:sz w:val="24"/>
                <w:szCs w:val="22"/>
                <w:lang w:val="en-US" w:eastAsia="en-US" w:bidi="mr-IN"/>
              </w:rPr>
            </w:pPr>
            <w:r>
              <w:rPr>
                <w:rFonts w:ascii="Times New Roman" w:hAnsi="Times New Roman" w:cs="Times New Roman"/>
                <w:b/>
                <w:bCs/>
                <w:sz w:val="24"/>
                <w:szCs w:val="22"/>
              </w:rPr>
              <w:t>Energy and Wind Energy</w:t>
            </w:r>
          </w:p>
        </w:tc>
        <w:tc>
          <w:tcPr>
            <w:tcW w:w="5480" w:type="dxa"/>
            <w:vAlign w:val="top"/>
          </w:tcPr>
          <w:p>
            <w:pPr>
              <w:autoSpaceDE w:val="0"/>
              <w:autoSpaceDN w:val="0"/>
              <w:adjustRightInd w:val="0"/>
              <w:spacing w:after="0" w:line="240" w:lineRule="auto"/>
              <w:jc w:val="both"/>
              <w:rPr>
                <w:rFonts w:hint="default" w:ascii="Times New Roman" w:hAnsi="Times New Roman" w:cs="Times New Roman"/>
                <w:sz w:val="24"/>
                <w:szCs w:val="22"/>
                <w:lang w:val="en-IN" w:eastAsia="en-US"/>
              </w:rPr>
            </w:pPr>
            <w:r>
              <w:rPr>
                <w:rFonts w:ascii="Times New Roman" w:hAnsi="Times New Roman" w:cs="Times New Roman"/>
                <w:sz w:val="24"/>
                <w:szCs w:val="22"/>
              </w:rPr>
              <w:t>Energy, Forms of energy, Man and environment, Energy chains, Classification of energy resources, Energy demands, Age of renewable and alternatives,Wind energy, Wind energy chains, Wind energy quantum, Planning of wind farm, Wind power density, Efficiency factor of wind turbine (P-H graph), Power of wind turbine for a given incoming wind velocity, Types of a wind turbine generator unit, Horizontal axis propeller type wind turbine generator unit.</w:t>
            </w:r>
            <w:r>
              <w:rPr>
                <w:rFonts w:hint="default" w:cs="Times New Roman"/>
                <w:sz w:val="24"/>
                <w:szCs w:val="22"/>
                <w:lang w:val="en-IN"/>
              </w:rPr>
              <w:t xml:space="preserve"> Practical-02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90" w:type="dxa"/>
            <w:vAlign w:val="center"/>
          </w:tcPr>
          <w:p>
            <w:pPr>
              <w:jc w:val="center"/>
              <w:rPr>
                <w:rFonts w:hint="default"/>
                <w:b w:val="0"/>
                <w:bCs/>
                <w:sz w:val="24"/>
                <w:szCs w:val="24"/>
                <w:lang w:val="en-IN"/>
              </w:rPr>
            </w:pPr>
            <w:r>
              <w:rPr>
                <w:rFonts w:hint="default"/>
                <w:b w:val="0"/>
                <w:bCs/>
                <w:sz w:val="24"/>
                <w:szCs w:val="24"/>
                <w:lang w:val="en-IN"/>
              </w:rPr>
              <w:t>January</w:t>
            </w:r>
          </w:p>
        </w:tc>
        <w:tc>
          <w:tcPr>
            <w:tcW w:w="900" w:type="dxa"/>
            <w:vAlign w:val="center"/>
          </w:tcPr>
          <w:p>
            <w:pPr>
              <w:jc w:val="center"/>
              <w:rPr>
                <w:rFonts w:hint="default"/>
                <w:b w:val="0"/>
                <w:bCs/>
                <w:sz w:val="24"/>
                <w:szCs w:val="24"/>
                <w:lang w:val="en-IN"/>
              </w:rPr>
            </w:pPr>
            <w:r>
              <w:rPr>
                <w:rFonts w:hint="default"/>
                <w:b w:val="0"/>
                <w:bCs/>
                <w:sz w:val="24"/>
                <w:szCs w:val="24"/>
                <w:lang w:val="en-IN"/>
              </w:rPr>
              <w:t>23</w:t>
            </w:r>
          </w:p>
        </w:tc>
        <w:tc>
          <w:tcPr>
            <w:tcW w:w="810" w:type="dxa"/>
            <w:vAlign w:val="center"/>
          </w:tcPr>
          <w:p>
            <w:pPr>
              <w:jc w:val="center"/>
              <w:rPr>
                <w:rFonts w:hint="default"/>
                <w:b w:val="0"/>
                <w:bCs/>
                <w:sz w:val="24"/>
                <w:szCs w:val="24"/>
                <w:lang w:val="en-IN"/>
              </w:rPr>
            </w:pPr>
            <w:r>
              <w:rPr>
                <w:rFonts w:hint="default"/>
                <w:b w:val="0"/>
                <w:bCs/>
                <w:sz w:val="24"/>
                <w:szCs w:val="24"/>
                <w:lang w:val="en-IN"/>
              </w:rPr>
              <w:t>22</w:t>
            </w:r>
          </w:p>
        </w:tc>
        <w:tc>
          <w:tcPr>
            <w:tcW w:w="1800" w:type="dxa"/>
            <w:vAlign w:val="center"/>
          </w:tcPr>
          <w:p>
            <w:pPr>
              <w:spacing w:after="0" w:line="240" w:lineRule="auto"/>
              <w:jc w:val="left"/>
              <w:rPr>
                <w:rFonts w:ascii="Times New Roman" w:hAnsi="Times New Roman" w:eastAsia="Times New Roman" w:cs="Times New Roman"/>
                <w:b/>
                <w:bCs/>
                <w:sz w:val="24"/>
                <w:szCs w:val="22"/>
                <w:lang w:val="en-US" w:eastAsia="en-US" w:bidi="ar-SA"/>
              </w:rPr>
            </w:pPr>
            <w:r>
              <w:rPr>
                <w:rFonts w:ascii="Times New Roman" w:hAnsi="Times New Roman" w:cs="Times New Roman"/>
                <w:b/>
                <w:bCs/>
                <w:sz w:val="24"/>
                <w:szCs w:val="22"/>
              </w:rPr>
              <w:t>Solar Energy</w:t>
            </w:r>
          </w:p>
        </w:tc>
        <w:tc>
          <w:tcPr>
            <w:tcW w:w="5480" w:type="dxa"/>
            <w:vAlign w:val="top"/>
          </w:tcPr>
          <w:p>
            <w:pPr>
              <w:autoSpaceDE w:val="0"/>
              <w:autoSpaceDN w:val="0"/>
              <w:adjustRightInd w:val="0"/>
              <w:spacing w:after="0" w:line="240" w:lineRule="auto"/>
              <w:jc w:val="both"/>
              <w:rPr>
                <w:rFonts w:hint="default" w:ascii="Times New Roman" w:hAnsi="Times New Roman" w:eastAsia="Times New Roman" w:cs="Times New Roman"/>
                <w:sz w:val="24"/>
                <w:szCs w:val="22"/>
                <w:lang w:val="en-IN" w:eastAsia="en-US" w:bidi="ar-SA"/>
              </w:rPr>
            </w:pPr>
            <w:r>
              <w:rPr>
                <w:rFonts w:ascii="Times New Roman" w:hAnsi="Times New Roman" w:cs="Times New Roman"/>
                <w:sz w:val="24"/>
                <w:szCs w:val="22"/>
              </w:rPr>
              <w:t xml:space="preserve"> Solar energy, Solar energy spectrum (UV,Visible and IR), Utilization of solar energy-thermal route, photovoltaic route, Essential subsystems in solar energy plant, Solar constant, Clarity index, Solar insolation, Solar energy from satellite station through microwave to earth station, Solar photovoltaic systems, Merits and limitations of solar PV systems, Prospects of solar PV systems, Power of a solar cell and solar PV panel.</w:t>
            </w:r>
            <w:r>
              <w:rPr>
                <w:rFonts w:hint="default" w:cs="Times New Roman"/>
                <w:sz w:val="24"/>
                <w:szCs w:val="22"/>
                <w:lang w:val="en-IN"/>
              </w:rPr>
              <w:t xml:space="preserve"> Practical-04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990" w:type="dxa"/>
            <w:vMerge w:val="restart"/>
            <w:vAlign w:val="center"/>
          </w:tcPr>
          <w:p>
            <w:pPr>
              <w:jc w:val="center"/>
              <w:rPr>
                <w:rFonts w:hint="default"/>
                <w:b w:val="0"/>
                <w:bCs/>
                <w:sz w:val="24"/>
                <w:szCs w:val="24"/>
                <w:lang w:val="en-IN"/>
              </w:rPr>
            </w:pPr>
            <w:r>
              <w:rPr>
                <w:rFonts w:hint="default"/>
                <w:b w:val="0"/>
                <w:bCs/>
                <w:sz w:val="24"/>
                <w:szCs w:val="24"/>
                <w:lang w:val="en-IN"/>
              </w:rPr>
              <w:t>Febtruary</w:t>
            </w:r>
          </w:p>
        </w:tc>
        <w:tc>
          <w:tcPr>
            <w:tcW w:w="900" w:type="dxa"/>
            <w:vMerge w:val="restart"/>
            <w:vAlign w:val="center"/>
          </w:tcPr>
          <w:p>
            <w:pPr>
              <w:jc w:val="center"/>
              <w:rPr>
                <w:rFonts w:hint="default"/>
                <w:b w:val="0"/>
                <w:bCs/>
                <w:sz w:val="24"/>
                <w:szCs w:val="24"/>
                <w:lang w:val="en-IN"/>
              </w:rPr>
            </w:pPr>
            <w:r>
              <w:rPr>
                <w:rFonts w:hint="default"/>
                <w:b w:val="0"/>
                <w:bCs/>
                <w:sz w:val="24"/>
                <w:szCs w:val="24"/>
                <w:lang w:val="en-IN"/>
              </w:rPr>
              <w:t>23</w:t>
            </w:r>
          </w:p>
        </w:tc>
        <w:tc>
          <w:tcPr>
            <w:tcW w:w="810" w:type="dxa"/>
            <w:vMerge w:val="restart"/>
            <w:vAlign w:val="center"/>
          </w:tcPr>
          <w:p>
            <w:pPr>
              <w:jc w:val="center"/>
              <w:rPr>
                <w:rFonts w:hint="default"/>
                <w:b w:val="0"/>
                <w:bCs/>
                <w:sz w:val="24"/>
                <w:szCs w:val="24"/>
                <w:lang w:val="en-IN"/>
              </w:rPr>
            </w:pPr>
            <w:r>
              <w:rPr>
                <w:rFonts w:hint="default"/>
                <w:b w:val="0"/>
                <w:bCs/>
                <w:sz w:val="24"/>
                <w:szCs w:val="24"/>
                <w:lang w:val="en-IN"/>
              </w:rPr>
              <w:t>31</w:t>
            </w:r>
          </w:p>
        </w:tc>
        <w:tc>
          <w:tcPr>
            <w:tcW w:w="1800" w:type="dxa"/>
            <w:vAlign w:val="center"/>
          </w:tcPr>
          <w:p>
            <w:pPr>
              <w:spacing w:after="0" w:line="240" w:lineRule="auto"/>
              <w:jc w:val="left"/>
              <w:rPr>
                <w:rFonts w:ascii="Times New Roman" w:hAnsi="Times New Roman" w:eastAsia="Times New Roman" w:cs="Times New Roman"/>
                <w:b/>
                <w:bCs/>
                <w:sz w:val="24"/>
                <w:szCs w:val="22"/>
                <w:lang w:val="en-US" w:eastAsia="en-US" w:bidi="ar-SA"/>
              </w:rPr>
            </w:pPr>
            <w:r>
              <w:rPr>
                <w:rFonts w:ascii="Times New Roman" w:hAnsi="Times New Roman" w:cs="Times New Roman"/>
                <w:b/>
                <w:bCs/>
                <w:sz w:val="24"/>
                <w:szCs w:val="22"/>
              </w:rPr>
              <w:t>Biomass Energy</w:t>
            </w:r>
          </w:p>
        </w:tc>
        <w:tc>
          <w:tcPr>
            <w:tcW w:w="5480" w:type="dxa"/>
            <w:vAlign w:val="top"/>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2"/>
              </w:rPr>
              <w:t>Origin of biomass, Biomass energy resources (biomass from cultivated crops, biomass from</w:t>
            </w:r>
          </w:p>
          <w:p>
            <w:pPr>
              <w:autoSpaceDE w:val="0"/>
              <w:autoSpaceDN w:val="0"/>
              <w:adjustRightInd w:val="0"/>
              <w:spacing w:after="0" w:line="240" w:lineRule="auto"/>
              <w:jc w:val="both"/>
              <w:rPr>
                <w:rFonts w:hint="default" w:ascii="Times New Roman" w:hAnsi="Times New Roman" w:eastAsia="Times New Roman" w:cs="Times New Roman"/>
                <w:sz w:val="24"/>
                <w:szCs w:val="22"/>
                <w:lang w:val="en-IN" w:eastAsia="en-US" w:bidi="ar-SA"/>
              </w:rPr>
            </w:pPr>
            <w:r>
              <w:rPr>
                <w:rFonts w:ascii="Times New Roman" w:hAnsi="Times New Roman" w:cs="Times New Roman"/>
                <w:sz w:val="24"/>
                <w:szCs w:val="22"/>
              </w:rPr>
              <w:t>waste organic matter), Biomass conversion process (biochemical conversion-anaerobic</w:t>
            </w:r>
            <w:r>
              <w:rPr>
                <w:rFonts w:hint="default" w:cs="Times New Roman"/>
                <w:sz w:val="24"/>
                <w:szCs w:val="22"/>
                <w:lang w:val="en-IN"/>
              </w:rPr>
              <w:t xml:space="preserve"> </w:t>
            </w:r>
            <w:r>
              <w:rPr>
                <w:rFonts w:ascii="Times New Roman" w:hAnsi="Times New Roman" w:cs="Times New Roman"/>
                <w:sz w:val="24"/>
                <w:szCs w:val="22"/>
              </w:rPr>
              <w:t>digestion and fermentation)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90" w:type="dxa"/>
            <w:vMerge w:val="continue"/>
            <w:vAlign w:val="center"/>
          </w:tcPr>
          <w:p>
            <w:pPr>
              <w:jc w:val="center"/>
              <w:rPr>
                <w:rFonts w:hint="default"/>
                <w:b w:val="0"/>
                <w:bCs/>
                <w:sz w:val="24"/>
                <w:szCs w:val="24"/>
                <w:lang w:val="en-IN"/>
              </w:rPr>
            </w:pPr>
          </w:p>
        </w:tc>
        <w:tc>
          <w:tcPr>
            <w:tcW w:w="900" w:type="dxa"/>
            <w:vMerge w:val="continue"/>
            <w:vAlign w:val="center"/>
          </w:tcPr>
          <w:p>
            <w:pPr>
              <w:jc w:val="center"/>
              <w:rPr>
                <w:rFonts w:hint="default"/>
                <w:b w:val="0"/>
                <w:bCs/>
                <w:sz w:val="24"/>
                <w:szCs w:val="24"/>
                <w:lang w:val="en-IN"/>
              </w:rPr>
            </w:pPr>
          </w:p>
        </w:tc>
        <w:tc>
          <w:tcPr>
            <w:tcW w:w="810" w:type="dxa"/>
            <w:vMerge w:val="continue"/>
            <w:vAlign w:val="center"/>
          </w:tcPr>
          <w:p>
            <w:pPr>
              <w:jc w:val="center"/>
              <w:rPr>
                <w:rFonts w:hint="default"/>
                <w:b w:val="0"/>
                <w:bCs/>
                <w:sz w:val="24"/>
                <w:szCs w:val="24"/>
                <w:lang w:val="en-IN"/>
              </w:rPr>
            </w:pPr>
          </w:p>
        </w:tc>
        <w:tc>
          <w:tcPr>
            <w:tcW w:w="1800" w:type="dxa"/>
            <w:vAlign w:val="center"/>
          </w:tcPr>
          <w:p>
            <w:pPr>
              <w:autoSpaceDE w:val="0"/>
              <w:autoSpaceDN w:val="0"/>
              <w:adjustRightInd w:val="0"/>
              <w:spacing w:after="0" w:line="240" w:lineRule="auto"/>
              <w:jc w:val="left"/>
              <w:rPr>
                <w:rFonts w:ascii="Times New Roman" w:hAnsi="Times New Roman" w:eastAsia="Times New Roman" w:cs="Times New Roman"/>
                <w:b/>
                <w:bCs/>
                <w:sz w:val="24"/>
                <w:szCs w:val="22"/>
                <w:lang w:val="en-US" w:eastAsia="en-US" w:bidi="ar-SA"/>
              </w:rPr>
            </w:pPr>
            <w:r>
              <w:rPr>
                <w:rFonts w:ascii="Times New Roman" w:hAnsi="Times New Roman" w:cs="Times New Roman"/>
                <w:b/>
                <w:bCs/>
                <w:sz w:val="24"/>
                <w:szCs w:val="22"/>
              </w:rPr>
              <w:t>Superconductivity</w:t>
            </w:r>
          </w:p>
        </w:tc>
        <w:tc>
          <w:tcPr>
            <w:tcW w:w="5480" w:type="dxa"/>
            <w:vAlign w:val="top"/>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2"/>
              </w:rPr>
              <w:t>Idea of superconductivity, Critical temperature, Critical magnetic field, Meissner effect, Type-I and Type-II superconductors, London equation and penetration depth, Isotope effect, Application (magnetic levitation)</w:t>
            </w:r>
          </w:p>
          <w:p>
            <w:pPr>
              <w:autoSpaceDE w:val="0"/>
              <w:autoSpaceDN w:val="0"/>
              <w:adjustRightInd w:val="0"/>
              <w:spacing w:after="0" w:line="240" w:lineRule="auto"/>
              <w:jc w:val="both"/>
              <w:rPr>
                <w:rFonts w:hint="default" w:ascii="Times New Roman" w:hAnsi="Times New Roman" w:cs="Times New Roman"/>
                <w:sz w:val="24"/>
                <w:szCs w:val="22"/>
                <w:lang w:val="en-IN" w:eastAsia="en-US"/>
              </w:rPr>
            </w:pPr>
            <w:r>
              <w:rPr>
                <w:rFonts w:hint="default" w:cs="Times New Roman"/>
                <w:sz w:val="24"/>
                <w:szCs w:val="22"/>
                <w:lang w:val="en-IN"/>
              </w:rPr>
              <w:t>Practical-04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0" w:type="dxa"/>
            <w:vAlign w:val="center"/>
          </w:tcPr>
          <w:p>
            <w:pPr>
              <w:jc w:val="both"/>
              <w:rPr>
                <w:rFonts w:hint="default"/>
                <w:b w:val="0"/>
                <w:bCs/>
                <w:sz w:val="24"/>
                <w:szCs w:val="24"/>
                <w:lang w:val="en-IN"/>
              </w:rPr>
            </w:pPr>
            <w:r>
              <w:rPr>
                <w:rFonts w:hint="default"/>
                <w:b w:val="0"/>
                <w:bCs/>
                <w:sz w:val="24"/>
                <w:szCs w:val="24"/>
                <w:lang w:val="en-IN"/>
              </w:rPr>
              <w:t>March</w:t>
            </w:r>
          </w:p>
        </w:tc>
        <w:tc>
          <w:tcPr>
            <w:tcW w:w="900" w:type="dxa"/>
            <w:vAlign w:val="center"/>
          </w:tcPr>
          <w:p>
            <w:pPr>
              <w:jc w:val="center"/>
              <w:rPr>
                <w:rFonts w:hint="default"/>
                <w:b w:val="0"/>
                <w:bCs/>
                <w:sz w:val="24"/>
                <w:szCs w:val="24"/>
                <w:lang w:val="en-IN"/>
              </w:rPr>
            </w:pPr>
            <w:r>
              <w:rPr>
                <w:rFonts w:hint="default"/>
                <w:b w:val="0"/>
                <w:bCs/>
                <w:sz w:val="24"/>
                <w:szCs w:val="24"/>
                <w:lang w:val="en-IN"/>
              </w:rPr>
              <w:t>21</w:t>
            </w:r>
          </w:p>
        </w:tc>
        <w:tc>
          <w:tcPr>
            <w:tcW w:w="810" w:type="dxa"/>
            <w:vAlign w:val="center"/>
          </w:tcPr>
          <w:p>
            <w:pPr>
              <w:jc w:val="center"/>
              <w:rPr>
                <w:rFonts w:hint="default"/>
                <w:b w:val="0"/>
                <w:bCs/>
                <w:sz w:val="24"/>
                <w:szCs w:val="24"/>
                <w:lang w:val="en-IN"/>
              </w:rPr>
            </w:pPr>
            <w:r>
              <w:rPr>
                <w:rFonts w:hint="default"/>
                <w:b w:val="0"/>
                <w:bCs/>
                <w:sz w:val="24"/>
                <w:szCs w:val="24"/>
                <w:lang w:val="en-IN"/>
              </w:rPr>
              <w:t>32</w:t>
            </w:r>
          </w:p>
        </w:tc>
        <w:tc>
          <w:tcPr>
            <w:tcW w:w="1800" w:type="dxa"/>
            <w:vAlign w:val="center"/>
          </w:tcPr>
          <w:p>
            <w:pPr>
              <w:spacing w:after="0" w:line="240" w:lineRule="auto"/>
              <w:jc w:val="both"/>
              <w:rPr>
                <w:rFonts w:ascii="Times New Roman" w:hAnsi="Times New Roman" w:eastAsia="Times New Roman" w:cs="Times New Roman"/>
                <w:b/>
                <w:bCs/>
                <w:sz w:val="24"/>
                <w:szCs w:val="22"/>
                <w:lang w:val="en-US" w:eastAsia="en-US" w:bidi="ar-SA"/>
              </w:rPr>
            </w:pPr>
            <w:r>
              <w:rPr>
                <w:rFonts w:ascii="Times New Roman" w:hAnsi="Times New Roman" w:cs="Times New Roman"/>
                <w:b/>
                <w:bCs/>
                <w:sz w:val="24"/>
                <w:szCs w:val="22"/>
              </w:rPr>
              <w:t>Nanotechnology</w:t>
            </w:r>
          </w:p>
        </w:tc>
        <w:tc>
          <w:tcPr>
            <w:tcW w:w="5480" w:type="dxa"/>
            <w:vAlign w:val="top"/>
          </w:tcPr>
          <w:p>
            <w:pPr>
              <w:autoSpaceDE w:val="0"/>
              <w:autoSpaceDN w:val="0"/>
              <w:adjustRightInd w:val="0"/>
              <w:spacing w:after="0" w:line="240" w:lineRule="auto"/>
              <w:jc w:val="both"/>
              <w:rPr>
                <w:rFonts w:hint="default" w:ascii="Times New Roman" w:hAnsi="Times New Roman" w:eastAsia="Times New Roman" w:cs="Times New Roman"/>
                <w:sz w:val="24"/>
                <w:szCs w:val="22"/>
                <w:lang w:val="en-IN" w:eastAsia="en-US" w:bidi="ar-SA"/>
              </w:rPr>
            </w:pPr>
            <w:r>
              <w:rPr>
                <w:rFonts w:ascii="Times New Roman" w:hAnsi="Times New Roman" w:cs="Times New Roman"/>
                <w:sz w:val="24"/>
                <w:szCs w:val="22"/>
              </w:rPr>
              <w:t>Introduction tonanoscience and nanotechnology, Length scales relevant to nanoscience, Nanostructures: 1D, 2D and 3Dnanostructures, Size effects in nanosystems, Quantum confinement, Synthesis of nanostructured materials(Top down and bottom up approach), Photolithography, Ball milling,Nucleation and growth, Applications of nanotechnology (Spintronics, Molecular electronics, Nanobiotechnology)</w:t>
            </w:r>
            <w:r>
              <w:rPr>
                <w:rFonts w:hint="default" w:cs="Times New Roman"/>
                <w:sz w:val="24"/>
                <w:szCs w:val="22"/>
                <w:lang w:val="en-IN"/>
              </w:rPr>
              <w:t xml:space="preserve"> Practical-03</w:t>
            </w:r>
          </w:p>
        </w:tc>
      </w:tr>
    </w:tbl>
    <w:p>
      <w:pPr>
        <w:pStyle w:val="5"/>
        <w:spacing w:line="240" w:lineRule="auto"/>
        <w:jc w:val="both"/>
        <w:rPr>
          <w:rFonts w:hint="default"/>
          <w:lang w:val="en-IN"/>
        </w:rPr>
      </w:pPr>
      <w:r>
        <w:rPr>
          <w:b/>
        </w:rPr>
        <w:t>Teaching method</w:t>
      </w:r>
      <w:r>
        <w:rPr>
          <w:rFonts w:hint="default"/>
          <w:b/>
          <w:lang w:val="en-IN"/>
        </w:rPr>
        <w:t xml:space="preserve">s and Teaching Aids: </w:t>
      </w:r>
      <w:r>
        <w:t>Lecture,</w:t>
      </w:r>
      <w:r>
        <w:rPr>
          <w:rFonts w:hint="default"/>
          <w:lang w:val="en-IN"/>
        </w:rPr>
        <w:t xml:space="preserve"> </w:t>
      </w:r>
      <w:r>
        <w:t>Inductive</w:t>
      </w:r>
      <w:r>
        <w:rPr>
          <w:rFonts w:hint="default"/>
          <w:lang w:val="en-IN"/>
        </w:rPr>
        <w:t xml:space="preserve">, </w:t>
      </w:r>
      <w:r>
        <w:t>Deductive</w:t>
      </w:r>
      <w:r>
        <w:rPr>
          <w:rFonts w:hint="default"/>
          <w:lang w:val="en-IN"/>
        </w:rPr>
        <w:t xml:space="preserve">, </w:t>
      </w:r>
      <w:r>
        <w:t>Review lesson</w:t>
      </w:r>
      <w:r>
        <w:rPr>
          <w:rFonts w:hint="default"/>
          <w:lang w:val="en-IN"/>
        </w:rPr>
        <w:t xml:space="preserve">, </w:t>
      </w:r>
      <w:r>
        <w:t>Problem Solving</w:t>
      </w:r>
      <w:r>
        <w:rPr>
          <w:rFonts w:hint="default"/>
          <w:lang w:val="en-IN"/>
        </w:rPr>
        <w:t xml:space="preserve">, </w:t>
      </w:r>
      <w:r>
        <w:t>Drill-lesson</w:t>
      </w:r>
      <w:r>
        <w:rPr>
          <w:rFonts w:hint="default"/>
          <w:lang w:val="en-IN"/>
        </w:rPr>
        <w:t xml:space="preserve">, </w:t>
      </w:r>
      <w:r>
        <w:t>Analytic</w:t>
      </w:r>
      <w:r>
        <w:rPr>
          <w:rFonts w:hint="default"/>
          <w:lang w:val="en-IN"/>
        </w:rPr>
        <w:t>.</w:t>
      </w:r>
    </w:p>
    <w:p>
      <w:pPr>
        <w:pStyle w:val="5"/>
        <w:spacing w:line="240" w:lineRule="auto"/>
        <w:jc w:val="both"/>
      </w:pPr>
      <w:r>
        <w:rPr>
          <w:rFonts w:hint="default"/>
          <w:lang w:val="en-IN"/>
        </w:rPr>
        <w:drawing>
          <wp:anchor distT="0" distB="0" distL="114300" distR="114300" simplePos="0" relativeHeight="251659264" behindDoc="1" locked="0" layoutInCell="1" allowOverlap="1">
            <wp:simplePos x="0" y="0"/>
            <wp:positionH relativeFrom="column">
              <wp:posOffset>4396740</wp:posOffset>
            </wp:positionH>
            <wp:positionV relativeFrom="paragraph">
              <wp:posOffset>17780</wp:posOffset>
            </wp:positionV>
            <wp:extent cx="1170305" cy="507365"/>
            <wp:effectExtent l="0" t="0" r="3175" b="10795"/>
            <wp:wrapTight wrapText="bothSides">
              <wp:wrapPolygon>
                <wp:start x="0" y="0"/>
                <wp:lineTo x="0" y="20762"/>
                <wp:lineTo x="21377" y="20762"/>
                <wp:lineTo x="21377" y="0"/>
                <wp:lineTo x="0" y="0"/>
              </wp:wrapPolygon>
            </wp:wrapTight>
            <wp:docPr id="2" name="Picture 2"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
                    <pic:cNvPicPr>
                      <a:picLocks noChangeAspect="1"/>
                    </pic:cNvPicPr>
                  </pic:nvPicPr>
                  <pic:blipFill>
                    <a:blip r:embed="rId6">
                      <a:lum bright="12000" contrast="84000"/>
                    </a:blip>
                    <a:stretch>
                      <a:fillRect/>
                    </a:stretch>
                  </pic:blipFill>
                  <pic:spPr>
                    <a:xfrm>
                      <a:off x="0" y="0"/>
                      <a:ext cx="1170305" cy="507365"/>
                    </a:xfrm>
                    <a:prstGeom prst="rect">
                      <a:avLst/>
                    </a:prstGeom>
                    <a:noFill/>
                    <a:effectLst>
                      <a:glow>
                        <a:schemeClr val="accent1">
                          <a:alpha val="96000"/>
                        </a:schemeClr>
                      </a:glow>
                    </a:effectLst>
                  </pic:spPr>
                </pic:pic>
              </a:graphicData>
            </a:graphic>
          </wp:anchor>
        </w:drawing>
      </w:r>
      <w:r>
        <w:rPr>
          <w:b/>
        </w:rPr>
        <w:t xml:space="preserve">Teaching </w:t>
      </w:r>
      <w:r>
        <w:rPr>
          <w:b/>
          <w:bCs/>
        </w:rPr>
        <w:t>Aids</w:t>
      </w:r>
      <w:r>
        <w:rPr>
          <w:rFonts w:hint="default"/>
          <w:lang w:val="en-IN"/>
        </w:rPr>
        <w:t xml:space="preserve">: </w:t>
      </w:r>
      <w:r>
        <w:t>Compute</w:t>
      </w:r>
      <w:r>
        <w:rPr>
          <w:rFonts w:hint="default"/>
          <w:lang w:val="en-IN"/>
        </w:rPr>
        <w:t xml:space="preserve">r, </w:t>
      </w:r>
      <w:r>
        <w:t>LCD</w:t>
      </w:r>
      <w:r>
        <w:rPr>
          <w:rFonts w:hint="default"/>
          <w:lang w:val="en-IN"/>
        </w:rPr>
        <w:t xml:space="preserve">, </w:t>
      </w:r>
      <w:r>
        <w:t>PPT</w:t>
      </w:r>
      <w:r>
        <w:rPr>
          <w:rFonts w:hint="default"/>
          <w:lang w:val="en-IN"/>
        </w:rPr>
        <w:t xml:space="preserve">, </w:t>
      </w:r>
      <w:r>
        <w:t>Google Classroom</w:t>
      </w:r>
      <w:r>
        <w:rPr>
          <w:rFonts w:hint="default"/>
          <w:lang w:val="en-IN"/>
        </w:rPr>
        <w:t>,</w:t>
      </w:r>
      <w:r>
        <w:t>YouTube</w:t>
      </w:r>
    </w:p>
    <w:p>
      <w:pPr>
        <w:rPr>
          <w:rFonts w:hint="default"/>
          <w:lang w:val="en-IN"/>
        </w:rPr>
      </w:pPr>
      <w:r>
        <w:rPr>
          <w:rFonts w:hint="default"/>
          <w:lang w:val="en-IN"/>
        </w:rPr>
        <w:t xml:space="preserve">     </w:t>
      </w:r>
    </w:p>
    <w:p>
      <w:pPr>
        <w:ind w:firstLine="6600" w:firstLineChars="2750"/>
      </w:pPr>
      <w:bookmarkStart w:id="0" w:name="_GoBack"/>
      <w:bookmarkEnd w:id="0"/>
      <w:r>
        <w:rPr>
          <w:rFonts w:hint="default"/>
          <w:lang w:val="en-IN"/>
        </w:rPr>
        <w:drawing>
          <wp:anchor distT="0" distB="0" distL="114300" distR="114300" simplePos="0" relativeHeight="251660288" behindDoc="1" locked="0" layoutInCell="1" allowOverlap="1">
            <wp:simplePos x="0" y="0"/>
            <wp:positionH relativeFrom="column">
              <wp:posOffset>716280</wp:posOffset>
            </wp:positionH>
            <wp:positionV relativeFrom="paragraph">
              <wp:posOffset>191770</wp:posOffset>
            </wp:positionV>
            <wp:extent cx="594995" cy="391795"/>
            <wp:effectExtent l="0" t="0" r="29845" b="34925"/>
            <wp:wrapTight wrapText="bothSides">
              <wp:wrapPolygon>
                <wp:start x="0" y="0"/>
                <wp:lineTo x="0" y="21005"/>
                <wp:lineTo x="21024" y="21005"/>
                <wp:lineTo x="21024" y="0"/>
                <wp:lineTo x="0" y="0"/>
              </wp:wrapPolygon>
            </wp:wrapTight>
            <wp:docPr id="4" name="Picture 4" descr="WhatsApp Image 2024-05-21 at 12.38.2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4-05-21 at 12.38.20 PM"/>
                    <pic:cNvPicPr>
                      <a:picLocks noChangeAspect="1"/>
                    </pic:cNvPicPr>
                  </pic:nvPicPr>
                  <pic:blipFill>
                    <a:blip r:embed="rId7">
                      <a:lum contrast="48000"/>
                    </a:blip>
                    <a:stretch>
                      <a:fillRect/>
                    </a:stretch>
                  </pic:blipFill>
                  <pic:spPr>
                    <a:xfrm>
                      <a:off x="0" y="0"/>
                      <a:ext cx="594995" cy="391795"/>
                    </a:xfrm>
                    <a:prstGeom prst="rect">
                      <a:avLst/>
                    </a:prstGeom>
                  </pic:spPr>
                </pic:pic>
              </a:graphicData>
            </a:graphic>
          </wp:anchor>
        </w:drawing>
      </w:r>
      <w:r>
        <w:rPr>
          <w:rFonts w:hint="default"/>
          <w:lang w:val="en-IN"/>
        </w:rPr>
        <w:t>Prof. (Dr.) R. K. Nimat</w:t>
      </w:r>
    </w:p>
    <w:sectPr>
      <w:pgSz w:w="11907" w:h="16839"/>
      <w:pgMar w:top="567" w:right="839" w:bottom="454" w:left="1584"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D123A"/>
    <w:rsid w:val="288D123A"/>
    <w:rsid w:val="3ED34AA0"/>
    <w:rsid w:val="5E417DB0"/>
    <w:rsid w:val="6DB162BE"/>
    <w:rsid w:val="7C51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2024-05-21T06:55:00Z</dcterms:created>
  <dc:creator>hp</dc:creator>
  <cp:lastModifiedBy>Dr. Rajesh K Nimat</cp:lastModifiedBy>
  <dcterms:modified xsi:type="dcterms:W3CDTF">2024-05-21T07:14:31Z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864F4C44188D4EB1975AFF31CCC4C565_11</vt:lpwstr>
  </property>
</Properties>
</file>