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2"/>
          <w:szCs w:val="22"/>
        </w:rPr>
      </w:pPr>
      <w:r>
        <w:rPr>
          <w:b/>
          <w:sz w:val="22"/>
          <w:szCs w:val="22"/>
        </w:rPr>
        <w:t>BALASAHEB DESAI COLEGE, PATAN</w:t>
      </w:r>
    </w:p>
    <w:p>
      <w:pPr>
        <w:jc w:val="center"/>
        <w:rPr>
          <w:rFonts w:hint="default"/>
          <w:b/>
          <w:sz w:val="22"/>
          <w:szCs w:val="22"/>
          <w:lang w:val="en-IN"/>
        </w:rPr>
      </w:pPr>
      <w:r>
        <w:rPr>
          <w:b/>
          <w:sz w:val="22"/>
          <w:szCs w:val="22"/>
        </w:rPr>
        <w:t xml:space="preserve">DEPARTMENT OF </w:t>
      </w:r>
      <w:r>
        <w:rPr>
          <w:rFonts w:hint="default"/>
          <w:b/>
          <w:sz w:val="22"/>
          <w:szCs w:val="22"/>
          <w:lang w:val="en-IN"/>
        </w:rPr>
        <w:t>PHYSICS</w:t>
      </w:r>
    </w:p>
    <w:p>
      <w:pPr>
        <w:jc w:val="center"/>
        <w:rPr>
          <w:b/>
          <w:sz w:val="22"/>
          <w:szCs w:val="22"/>
        </w:rPr>
      </w:pPr>
      <w:r>
        <w:rPr>
          <w:rFonts w:hint="default"/>
          <w:b/>
          <w:sz w:val="22"/>
          <w:szCs w:val="22"/>
          <w:lang w:val="en-IN"/>
        </w:rPr>
        <w:t>MONTHLY</w:t>
      </w:r>
      <w:r>
        <w:rPr>
          <w:b/>
          <w:sz w:val="22"/>
          <w:szCs w:val="22"/>
        </w:rPr>
        <w:t xml:space="preserve"> TEACHING  PLAN </w:t>
      </w:r>
    </w:p>
    <w:p>
      <w:pPr>
        <w:jc w:val="center"/>
        <w:rPr>
          <w:b/>
          <w:sz w:val="22"/>
          <w:szCs w:val="22"/>
        </w:rPr>
      </w:pPr>
      <w:r>
        <w:rPr>
          <w:b/>
          <w:sz w:val="22"/>
          <w:szCs w:val="22"/>
        </w:rPr>
        <w:t>Academic Year 2023-2024</w:t>
      </w:r>
    </w:p>
    <w:p>
      <w:pPr>
        <w:jc w:val="center"/>
        <w:rPr>
          <w:rFonts w:hint="default"/>
          <w:b/>
          <w:sz w:val="22"/>
          <w:szCs w:val="22"/>
          <w:lang w:val="en-IN"/>
        </w:rPr>
      </w:pPr>
      <w:r>
        <w:rPr>
          <w:b/>
          <w:sz w:val="22"/>
          <w:szCs w:val="22"/>
        </w:rPr>
        <w:t>Semester I</w:t>
      </w:r>
    </w:p>
    <w:p>
      <w:pPr>
        <w:jc w:val="center"/>
        <w:rPr>
          <w:b/>
        </w:rPr>
      </w:pPr>
    </w:p>
    <w:p>
      <w:pPr>
        <w:rPr>
          <w:b/>
          <w:sz w:val="22"/>
          <w:szCs w:val="22"/>
        </w:rPr>
      </w:pPr>
      <w:r>
        <w:rPr>
          <w:b/>
          <w:sz w:val="22"/>
          <w:szCs w:val="22"/>
        </w:rPr>
        <w:t>Class: B.Sc. I</w:t>
      </w:r>
      <w:r>
        <w:rPr>
          <w:rFonts w:hint="default"/>
          <w:b/>
          <w:sz w:val="22"/>
          <w:szCs w:val="22"/>
          <w:lang w:val="en-IN"/>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            Paper No.: </w:t>
      </w:r>
      <w:r>
        <w:rPr>
          <w:rFonts w:hint="default"/>
          <w:b/>
          <w:sz w:val="22"/>
          <w:szCs w:val="22"/>
          <w:lang w:val="en-IN"/>
        </w:rPr>
        <w:t xml:space="preserve">I </w:t>
      </w:r>
      <w:r>
        <w:rPr>
          <w:b/>
          <w:sz w:val="22"/>
          <w:szCs w:val="22"/>
        </w:rPr>
        <w:t>(Theory)</w:t>
      </w:r>
    </w:p>
    <w:p>
      <w:pPr>
        <w:rPr>
          <w:b/>
          <w:sz w:val="16"/>
          <w:szCs w:val="16"/>
        </w:rPr>
      </w:pPr>
      <w:r>
        <w:rPr>
          <w:rFonts w:ascii="Times New Roman" w:hAnsi="Times New Roman" w:cs="Times New Roman"/>
          <w:b/>
          <w:bCs/>
          <w:sz w:val="24"/>
          <w:szCs w:val="22"/>
        </w:rPr>
        <w:t xml:space="preserve">Paper Title: Mechanics-I </w:t>
      </w:r>
    </w:p>
    <w:tbl>
      <w:tblPr>
        <w:tblStyle w:val="4"/>
        <w:tblW w:w="94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00"/>
        <w:gridCol w:w="810"/>
        <w:gridCol w:w="1800"/>
        <w:gridCol w:w="4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0" w:type="dxa"/>
          </w:tcPr>
          <w:p>
            <w:pPr>
              <w:rPr>
                <w:b/>
                <w:sz w:val="24"/>
                <w:szCs w:val="24"/>
              </w:rPr>
            </w:pPr>
            <w:r>
              <w:rPr>
                <w:b/>
                <w:sz w:val="24"/>
                <w:szCs w:val="24"/>
              </w:rPr>
              <w:t>Month</w:t>
            </w:r>
          </w:p>
        </w:tc>
        <w:tc>
          <w:tcPr>
            <w:tcW w:w="900" w:type="dxa"/>
          </w:tcPr>
          <w:p>
            <w:pPr>
              <w:rPr>
                <w:b/>
                <w:sz w:val="24"/>
                <w:szCs w:val="24"/>
              </w:rPr>
            </w:pPr>
            <w:r>
              <w:rPr>
                <w:b/>
                <w:sz w:val="24"/>
                <w:szCs w:val="24"/>
              </w:rPr>
              <w:t xml:space="preserve">No. of </w:t>
            </w:r>
          </w:p>
          <w:p>
            <w:pPr>
              <w:rPr>
                <w:b/>
                <w:sz w:val="24"/>
                <w:szCs w:val="24"/>
              </w:rPr>
            </w:pPr>
            <w:r>
              <w:rPr>
                <w:b/>
                <w:sz w:val="24"/>
                <w:szCs w:val="24"/>
              </w:rPr>
              <w:t>Teaching Days</w:t>
            </w:r>
          </w:p>
        </w:tc>
        <w:tc>
          <w:tcPr>
            <w:tcW w:w="810" w:type="dxa"/>
          </w:tcPr>
          <w:p>
            <w:pPr>
              <w:rPr>
                <w:b/>
                <w:sz w:val="24"/>
                <w:szCs w:val="24"/>
              </w:rPr>
            </w:pPr>
            <w:r>
              <w:rPr>
                <w:b/>
                <w:sz w:val="24"/>
                <w:szCs w:val="24"/>
              </w:rPr>
              <w:t>Periods Allotted</w:t>
            </w:r>
          </w:p>
        </w:tc>
        <w:tc>
          <w:tcPr>
            <w:tcW w:w="1800" w:type="dxa"/>
          </w:tcPr>
          <w:p>
            <w:pPr>
              <w:jc w:val="center"/>
              <w:rPr>
                <w:b/>
                <w:sz w:val="24"/>
                <w:szCs w:val="24"/>
              </w:rPr>
            </w:pPr>
            <w:r>
              <w:rPr>
                <w:b/>
                <w:sz w:val="24"/>
                <w:szCs w:val="24"/>
              </w:rPr>
              <w:t>Unit / Topic</w:t>
            </w:r>
          </w:p>
        </w:tc>
        <w:tc>
          <w:tcPr>
            <w:tcW w:w="4923" w:type="dxa"/>
          </w:tcPr>
          <w:p>
            <w:pPr>
              <w:jc w:val="center"/>
              <w:rPr>
                <w:b/>
                <w:sz w:val="24"/>
                <w:szCs w:val="24"/>
              </w:rPr>
            </w:pPr>
            <w:r>
              <w:rPr>
                <w:b/>
                <w:sz w:val="24"/>
                <w:szCs w:val="24"/>
              </w:rPr>
              <w:t>Sub</w:t>
            </w:r>
            <w:r>
              <w:rPr>
                <w:rFonts w:hint="default"/>
                <w:b/>
                <w:sz w:val="24"/>
                <w:szCs w:val="24"/>
                <w:lang w:val="en-IN"/>
              </w:rPr>
              <w:t>-</w:t>
            </w:r>
            <w:r>
              <w:rPr>
                <w:b/>
                <w:sz w:val="24"/>
                <w:szCs w:val="24"/>
              </w:rPr>
              <w:t>units Planned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990" w:type="dxa"/>
            <w:vMerge w:val="restart"/>
            <w:vAlign w:val="center"/>
          </w:tcPr>
          <w:p>
            <w:pPr>
              <w:jc w:val="center"/>
              <w:rPr>
                <w:b w:val="0"/>
                <w:bCs/>
                <w:sz w:val="24"/>
                <w:szCs w:val="24"/>
              </w:rPr>
            </w:pPr>
            <w:r>
              <w:rPr>
                <w:b w:val="0"/>
                <w:bCs/>
                <w:sz w:val="24"/>
                <w:szCs w:val="24"/>
              </w:rPr>
              <w:t>July</w:t>
            </w:r>
          </w:p>
        </w:tc>
        <w:tc>
          <w:tcPr>
            <w:tcW w:w="900" w:type="dxa"/>
            <w:vMerge w:val="restart"/>
            <w:vAlign w:val="center"/>
          </w:tcPr>
          <w:p>
            <w:pPr>
              <w:jc w:val="center"/>
              <w:rPr>
                <w:rFonts w:hint="default"/>
                <w:b w:val="0"/>
                <w:bCs/>
                <w:sz w:val="24"/>
                <w:szCs w:val="24"/>
                <w:lang w:val="en-IN"/>
              </w:rPr>
            </w:pPr>
            <w:r>
              <w:rPr>
                <w:rFonts w:hint="default"/>
                <w:b w:val="0"/>
                <w:bCs/>
                <w:sz w:val="24"/>
                <w:szCs w:val="24"/>
                <w:lang w:val="en-IN"/>
              </w:rPr>
              <w:t>12</w:t>
            </w:r>
          </w:p>
        </w:tc>
        <w:tc>
          <w:tcPr>
            <w:tcW w:w="810" w:type="dxa"/>
            <w:vMerge w:val="restart"/>
            <w:vAlign w:val="center"/>
          </w:tcPr>
          <w:p>
            <w:pPr>
              <w:jc w:val="center"/>
              <w:rPr>
                <w:rFonts w:hint="default"/>
                <w:b w:val="0"/>
                <w:bCs/>
                <w:sz w:val="24"/>
                <w:szCs w:val="24"/>
                <w:lang w:val="en-IN"/>
              </w:rPr>
            </w:pPr>
            <w:r>
              <w:rPr>
                <w:rFonts w:hint="default"/>
                <w:b w:val="0"/>
                <w:bCs/>
                <w:sz w:val="24"/>
                <w:szCs w:val="24"/>
                <w:lang w:val="en-IN"/>
              </w:rPr>
              <w:t>12</w:t>
            </w:r>
          </w:p>
        </w:tc>
        <w:tc>
          <w:tcPr>
            <w:tcW w:w="1800" w:type="dxa"/>
            <w:vAlign w:val="center"/>
          </w:tcPr>
          <w:p>
            <w:pPr>
              <w:pStyle w:val="2"/>
              <w:jc w:val="left"/>
              <w:rPr>
                <w:b w:val="0"/>
                <w:bCs/>
                <w:sz w:val="24"/>
                <w:szCs w:val="24"/>
              </w:rPr>
            </w:pPr>
            <w:r>
              <w:rPr>
                <w:rFonts w:hint="default" w:cs="Times New Roman"/>
                <w:b w:val="0"/>
                <w:bCs/>
                <w:sz w:val="24"/>
                <w:szCs w:val="24"/>
                <w:lang w:val="en-IN"/>
              </w:rPr>
              <w:t xml:space="preserve">UNIT-I </w:t>
            </w:r>
            <w:r>
              <w:rPr>
                <w:rFonts w:ascii="Times New Roman" w:hAnsi="Times New Roman" w:cs="Times New Roman"/>
                <w:b w:val="0"/>
                <w:bCs/>
                <w:sz w:val="24"/>
                <w:szCs w:val="24"/>
              </w:rPr>
              <w:t>Vector Algebra and Elementary Calculus</w:t>
            </w:r>
          </w:p>
        </w:tc>
        <w:tc>
          <w:tcPr>
            <w:tcW w:w="4923" w:type="dxa"/>
          </w:tcPr>
          <w:p>
            <w:pPr>
              <w:autoSpaceDE w:val="0"/>
              <w:autoSpaceDN w:val="0"/>
              <w:adjustRightInd w:val="0"/>
              <w:rPr>
                <w:rFonts w:hint="default"/>
                <w:sz w:val="24"/>
                <w:szCs w:val="24"/>
                <w:lang w:val="en-IN"/>
              </w:rPr>
            </w:pPr>
            <w:r>
              <w:rPr>
                <w:rFonts w:ascii="Times New Roman" w:hAnsi="Times New Roman" w:cs="Times New Roman"/>
                <w:sz w:val="24"/>
                <w:szCs w:val="24"/>
              </w:rPr>
              <w:t>Revision– (Vector Algebra: Components of Vectors and Unit Vector, Addition and Subtraction of Vectors), Scalar product, Vector product and their properties, Scalar triple product and its physical significance, Properties of scalar triple product, Vector triple product, properties of vector triple product. Derivatives of a vector with respect to a parameter (velocity and acceleration)</w:t>
            </w:r>
            <w:r>
              <w:rPr>
                <w:rFonts w:hint="default" w:cs="Times New Roman"/>
                <w:sz w:val="24"/>
                <w:szCs w:val="24"/>
                <w:lang w:val="en-IN"/>
              </w:rPr>
              <w:t xml:space="preserve"> Practicals-02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990" w:type="dxa"/>
            <w:vMerge w:val="restart"/>
            <w:vAlign w:val="center"/>
          </w:tcPr>
          <w:p>
            <w:pPr>
              <w:jc w:val="center"/>
              <w:rPr>
                <w:b w:val="0"/>
                <w:bCs/>
                <w:sz w:val="24"/>
                <w:szCs w:val="24"/>
              </w:rPr>
            </w:pPr>
            <w:r>
              <w:rPr>
                <w:b w:val="0"/>
                <w:bCs/>
                <w:sz w:val="24"/>
                <w:szCs w:val="24"/>
              </w:rPr>
              <w:t>August</w:t>
            </w:r>
          </w:p>
        </w:tc>
        <w:tc>
          <w:tcPr>
            <w:tcW w:w="900" w:type="dxa"/>
            <w:vMerge w:val="restart"/>
            <w:vAlign w:val="center"/>
          </w:tcPr>
          <w:p>
            <w:pPr>
              <w:jc w:val="center"/>
              <w:rPr>
                <w:rFonts w:hint="default"/>
                <w:b w:val="0"/>
                <w:bCs/>
                <w:sz w:val="24"/>
                <w:szCs w:val="24"/>
                <w:lang w:val="en-IN"/>
              </w:rPr>
            </w:pPr>
            <w:r>
              <w:rPr>
                <w:rFonts w:hint="default"/>
                <w:b w:val="0"/>
                <w:bCs/>
                <w:sz w:val="24"/>
                <w:szCs w:val="24"/>
                <w:lang w:val="en-IN"/>
              </w:rPr>
              <w:t>23</w:t>
            </w:r>
          </w:p>
        </w:tc>
        <w:tc>
          <w:tcPr>
            <w:tcW w:w="810" w:type="dxa"/>
            <w:vMerge w:val="restart"/>
            <w:vAlign w:val="center"/>
          </w:tcPr>
          <w:p>
            <w:pPr>
              <w:jc w:val="center"/>
              <w:rPr>
                <w:rFonts w:hint="default"/>
                <w:b w:val="0"/>
                <w:bCs/>
                <w:sz w:val="24"/>
                <w:szCs w:val="24"/>
                <w:lang w:val="en-IN"/>
              </w:rPr>
            </w:pPr>
            <w:r>
              <w:rPr>
                <w:rFonts w:hint="default"/>
                <w:b w:val="0"/>
                <w:bCs/>
                <w:sz w:val="24"/>
                <w:szCs w:val="24"/>
                <w:lang w:val="en-IN"/>
              </w:rPr>
              <w:t>25</w:t>
            </w:r>
          </w:p>
        </w:tc>
        <w:tc>
          <w:tcPr>
            <w:tcW w:w="1800" w:type="dxa"/>
            <w:vAlign w:val="center"/>
          </w:tcPr>
          <w:p>
            <w:pPr>
              <w:pStyle w:val="2"/>
              <w:jc w:val="left"/>
              <w:rPr>
                <w:b w:val="0"/>
                <w:bCs/>
                <w:sz w:val="24"/>
                <w:szCs w:val="24"/>
              </w:rPr>
            </w:pPr>
            <w:r>
              <w:rPr>
                <w:rFonts w:hint="default" w:cs="Times New Roman"/>
                <w:b w:val="0"/>
                <w:bCs/>
                <w:sz w:val="24"/>
                <w:szCs w:val="24"/>
                <w:lang w:val="en-IN"/>
              </w:rPr>
              <w:t xml:space="preserve">Unit-I </w:t>
            </w:r>
            <w:r>
              <w:rPr>
                <w:rFonts w:ascii="Times New Roman" w:hAnsi="Times New Roman" w:cs="Times New Roman"/>
                <w:b w:val="0"/>
                <w:bCs/>
                <w:sz w:val="24"/>
                <w:szCs w:val="24"/>
              </w:rPr>
              <w:t>Ordinary Differential Equations:</w:t>
            </w:r>
          </w:p>
        </w:tc>
        <w:tc>
          <w:tcPr>
            <w:tcW w:w="4923" w:type="dxa"/>
          </w:tcPr>
          <w:p>
            <w:pPr>
              <w:jc w:val="both"/>
              <w:rPr>
                <w:rFonts w:ascii="Times New Roman" w:hAnsi="Times New Roman" w:cs="Times New Roman"/>
                <w:sz w:val="24"/>
                <w:szCs w:val="24"/>
              </w:rPr>
            </w:pPr>
            <w:r>
              <w:rPr>
                <w:rFonts w:ascii="Times New Roman" w:hAnsi="Times New Roman" w:cs="Times New Roman"/>
                <w:sz w:val="24"/>
                <w:szCs w:val="24"/>
              </w:rPr>
              <w:t>Differential equation, degree, order, linearity and homogeneity of differential equation, Types of Differential Equations: Ordinary and Partial differential equations, First order homogeneous differential equations, Second order homogeneous differential equations with constant coefficients, Examples</w:t>
            </w:r>
          </w:p>
          <w:p>
            <w:pPr>
              <w:jc w:val="both"/>
              <w:rPr>
                <w:rFonts w:hint="default" w:ascii="Times New Roman" w:hAnsi="Times New Roman" w:cs="Times New Roman"/>
                <w:sz w:val="24"/>
                <w:szCs w:val="24"/>
                <w:lang w:val="en-IN"/>
              </w:rPr>
            </w:pPr>
            <w:r>
              <w:rPr>
                <w:rFonts w:hint="default" w:cs="Times New Roman"/>
                <w:sz w:val="24"/>
                <w:szCs w:val="24"/>
                <w:lang w:val="en-IN"/>
              </w:rPr>
              <w:t>Practicals-05</w:t>
            </w:r>
          </w:p>
          <w:p>
            <w:pPr>
              <w:jc w:val="both"/>
              <w:rPr>
                <w:rFonts w:hint="default" w:ascii="Times New Roman" w:hAnsi="Times New Roman" w:cs="Times New Roman"/>
                <w:sz w:val="24"/>
                <w:szCs w:val="24"/>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990" w:type="dxa"/>
            <w:vMerge w:val="restart"/>
            <w:vAlign w:val="center"/>
          </w:tcPr>
          <w:p>
            <w:pPr>
              <w:jc w:val="center"/>
              <w:rPr>
                <w:b w:val="0"/>
                <w:bCs/>
                <w:sz w:val="24"/>
                <w:szCs w:val="24"/>
              </w:rPr>
            </w:pPr>
            <w:r>
              <w:rPr>
                <w:b w:val="0"/>
                <w:bCs/>
                <w:sz w:val="24"/>
                <w:szCs w:val="24"/>
              </w:rPr>
              <w:t xml:space="preserve">September </w:t>
            </w:r>
          </w:p>
        </w:tc>
        <w:tc>
          <w:tcPr>
            <w:tcW w:w="900" w:type="dxa"/>
            <w:vMerge w:val="restart"/>
            <w:vAlign w:val="center"/>
          </w:tcPr>
          <w:p>
            <w:pPr>
              <w:jc w:val="center"/>
              <w:rPr>
                <w:rFonts w:hint="default"/>
                <w:b w:val="0"/>
                <w:bCs/>
                <w:sz w:val="24"/>
                <w:szCs w:val="24"/>
                <w:lang w:val="en-IN"/>
              </w:rPr>
            </w:pPr>
            <w:r>
              <w:rPr>
                <w:rFonts w:hint="default"/>
                <w:b w:val="0"/>
                <w:bCs/>
                <w:sz w:val="24"/>
                <w:szCs w:val="24"/>
                <w:lang w:val="en-IN"/>
              </w:rPr>
              <w:t>24</w:t>
            </w:r>
          </w:p>
        </w:tc>
        <w:tc>
          <w:tcPr>
            <w:tcW w:w="810" w:type="dxa"/>
            <w:vMerge w:val="restart"/>
            <w:vAlign w:val="center"/>
          </w:tcPr>
          <w:p>
            <w:pPr>
              <w:jc w:val="center"/>
              <w:rPr>
                <w:rFonts w:hint="default"/>
                <w:b w:val="0"/>
                <w:bCs/>
                <w:sz w:val="24"/>
                <w:szCs w:val="24"/>
                <w:lang w:val="en-IN"/>
              </w:rPr>
            </w:pPr>
            <w:r>
              <w:rPr>
                <w:rFonts w:hint="default"/>
                <w:b w:val="0"/>
                <w:bCs/>
                <w:sz w:val="24"/>
                <w:szCs w:val="24"/>
                <w:lang w:val="en-IN"/>
              </w:rPr>
              <w:t>25</w:t>
            </w:r>
          </w:p>
        </w:tc>
        <w:tc>
          <w:tcPr>
            <w:tcW w:w="1800" w:type="dxa"/>
            <w:vAlign w:val="center"/>
          </w:tcPr>
          <w:p>
            <w:pPr>
              <w:pStyle w:val="2"/>
              <w:jc w:val="left"/>
              <w:rPr>
                <w:b w:val="0"/>
                <w:bCs/>
                <w:sz w:val="24"/>
                <w:szCs w:val="24"/>
              </w:rPr>
            </w:pPr>
            <w:r>
              <w:rPr>
                <w:rFonts w:hint="default" w:cs="Times New Roman"/>
                <w:b w:val="0"/>
                <w:bCs/>
                <w:sz w:val="24"/>
                <w:szCs w:val="24"/>
                <w:lang w:val="en-IN"/>
              </w:rPr>
              <w:t xml:space="preserve">Unit-II </w:t>
            </w:r>
            <w:r>
              <w:rPr>
                <w:rFonts w:ascii="Times New Roman" w:hAnsi="Times New Roman" w:cs="Times New Roman"/>
                <w:b w:val="0"/>
                <w:bCs/>
                <w:sz w:val="24"/>
                <w:szCs w:val="24"/>
              </w:rPr>
              <w:t>Conservation Theorems</w:t>
            </w:r>
          </w:p>
        </w:tc>
        <w:tc>
          <w:tcPr>
            <w:tcW w:w="4923" w:type="dxa"/>
          </w:tcPr>
          <w:p>
            <w:pPr>
              <w:jc w:val="both"/>
              <w:rPr>
                <w:rFonts w:ascii="Times New Roman" w:hAnsi="Times New Roman" w:cs="Times New Roman"/>
                <w:sz w:val="24"/>
                <w:szCs w:val="24"/>
              </w:rPr>
            </w:pPr>
            <w:r>
              <w:rPr>
                <w:rFonts w:ascii="Times New Roman" w:hAnsi="Times New Roman" w:cs="Times New Roman"/>
                <w:sz w:val="24"/>
                <w:szCs w:val="24"/>
              </w:rPr>
              <w:t>Single particle: Conservation theorem for linear momentum of a particle, Conservation theorem for angular momentum of a particle, work-energy theorem, Conservation theorem for energy of a particle. System of particles: Center of mass, Conservation theorem for linear momentum, Conservation theorem for angular momentum, Conservation theorem for energy</w:t>
            </w:r>
          </w:p>
          <w:p>
            <w:pPr>
              <w:jc w:val="both"/>
              <w:rPr>
                <w:rFonts w:ascii="Times New Roman" w:hAnsi="Times New Roman" w:cs="Times New Roman"/>
                <w:sz w:val="24"/>
                <w:szCs w:val="24"/>
                <w:lang w:val="en-IN"/>
              </w:rPr>
            </w:pPr>
            <w:r>
              <w:rPr>
                <w:rFonts w:hint="default" w:cs="Times New Roman"/>
                <w:sz w:val="24"/>
                <w:szCs w:val="24"/>
                <w:lang w:val="en-IN"/>
              </w:rPr>
              <w:t>Practicals-05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990" w:type="dxa"/>
            <w:vAlign w:val="center"/>
          </w:tcPr>
          <w:p>
            <w:pPr>
              <w:jc w:val="both"/>
              <w:rPr>
                <w:b w:val="0"/>
                <w:bCs/>
                <w:sz w:val="24"/>
                <w:szCs w:val="24"/>
              </w:rPr>
            </w:pPr>
            <w:r>
              <w:rPr>
                <w:b w:val="0"/>
                <w:bCs/>
                <w:sz w:val="24"/>
                <w:szCs w:val="24"/>
              </w:rPr>
              <w:t>October</w:t>
            </w:r>
          </w:p>
        </w:tc>
        <w:tc>
          <w:tcPr>
            <w:tcW w:w="900" w:type="dxa"/>
            <w:vAlign w:val="center"/>
          </w:tcPr>
          <w:p>
            <w:pPr>
              <w:jc w:val="center"/>
              <w:rPr>
                <w:rFonts w:hint="default"/>
                <w:b w:val="0"/>
                <w:bCs/>
                <w:sz w:val="24"/>
                <w:szCs w:val="24"/>
                <w:lang w:val="en-IN"/>
              </w:rPr>
            </w:pPr>
            <w:r>
              <w:rPr>
                <w:rFonts w:hint="default"/>
                <w:b w:val="0"/>
                <w:bCs/>
                <w:sz w:val="24"/>
                <w:szCs w:val="24"/>
                <w:lang w:val="en-IN"/>
              </w:rPr>
              <w:t>12</w:t>
            </w:r>
          </w:p>
        </w:tc>
        <w:tc>
          <w:tcPr>
            <w:tcW w:w="810" w:type="dxa"/>
            <w:vAlign w:val="center"/>
          </w:tcPr>
          <w:p>
            <w:pPr>
              <w:jc w:val="center"/>
              <w:rPr>
                <w:rFonts w:hint="default"/>
                <w:b w:val="0"/>
                <w:bCs/>
                <w:sz w:val="24"/>
                <w:szCs w:val="24"/>
                <w:lang w:val="en-IN"/>
              </w:rPr>
            </w:pPr>
            <w:r>
              <w:rPr>
                <w:rFonts w:hint="default"/>
                <w:b w:val="0"/>
                <w:bCs/>
                <w:sz w:val="24"/>
                <w:szCs w:val="24"/>
                <w:lang w:val="en-IN"/>
              </w:rPr>
              <w:t>15</w:t>
            </w:r>
          </w:p>
        </w:tc>
        <w:tc>
          <w:tcPr>
            <w:tcW w:w="1800" w:type="dxa"/>
            <w:vAlign w:val="center"/>
          </w:tcPr>
          <w:p>
            <w:pPr>
              <w:spacing w:after="0" w:line="240" w:lineRule="auto"/>
              <w:jc w:val="left"/>
              <w:rPr>
                <w:rFonts w:ascii="Times New Roman" w:hAnsi="Times New Roman" w:eastAsia="Times New Roman" w:cs="Times New Roman"/>
                <w:b w:val="0"/>
                <w:bCs/>
                <w:sz w:val="24"/>
                <w:szCs w:val="24"/>
                <w:lang w:val="en-US" w:eastAsia="en-US" w:bidi="ar-SA"/>
              </w:rPr>
            </w:pPr>
            <w:r>
              <w:rPr>
                <w:rFonts w:hint="default" w:cs="Times New Roman"/>
                <w:b w:val="0"/>
                <w:bCs/>
                <w:sz w:val="24"/>
                <w:szCs w:val="24"/>
                <w:lang w:val="en-IN"/>
              </w:rPr>
              <w:t xml:space="preserve">Unit-II </w:t>
            </w:r>
            <w:r>
              <w:rPr>
                <w:rFonts w:ascii="Times New Roman" w:hAnsi="Times New Roman" w:cs="Times New Roman"/>
                <w:b w:val="0"/>
                <w:bCs/>
                <w:sz w:val="24"/>
                <w:szCs w:val="24"/>
              </w:rPr>
              <w:t>Rotational Motion</w:t>
            </w:r>
          </w:p>
        </w:tc>
        <w:tc>
          <w:tcPr>
            <w:tcW w:w="4923" w:type="dxa"/>
            <w:vAlign w:val="top"/>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Angular velocity, Angular momentum, Torque, Kinetic energy of rotation, Moment of Inertia, Moment of inertia of a spherical shell about its diameter, Moment of inertia of solid cylinder about its axis of symmetry.</w:t>
            </w:r>
          </w:p>
          <w:p>
            <w:pPr>
              <w:jc w:val="both"/>
              <w:rPr>
                <w:rFonts w:ascii="Times New Roman" w:hAnsi="Times New Roman" w:cs="Times New Roman"/>
                <w:sz w:val="24"/>
                <w:szCs w:val="24"/>
                <w:lang w:val="en-US" w:eastAsia="en-US"/>
              </w:rPr>
            </w:pPr>
            <w:r>
              <w:rPr>
                <w:rFonts w:hint="default" w:cs="Times New Roman"/>
                <w:sz w:val="24"/>
                <w:szCs w:val="24"/>
                <w:lang w:val="en-IN"/>
              </w:rPr>
              <w:t>Practicals-03</w:t>
            </w:r>
          </w:p>
        </w:tc>
      </w:tr>
    </w:tbl>
    <w:p>
      <w:pPr>
        <w:pStyle w:val="7"/>
        <w:spacing w:line="240" w:lineRule="auto"/>
        <w:jc w:val="both"/>
        <w:rPr>
          <w:rFonts w:hint="default"/>
          <w:lang w:val="en-IN"/>
        </w:rPr>
      </w:pPr>
      <w:r>
        <w:rPr>
          <w:b/>
        </w:rPr>
        <w:t>Teaching method</w:t>
      </w:r>
      <w:r>
        <w:rPr>
          <w:rFonts w:hint="default"/>
          <w:b/>
          <w:lang w:val="en-IN"/>
        </w:rPr>
        <w:t xml:space="preserve">s and Teaching Aids: </w:t>
      </w:r>
      <w:r>
        <w:t>Lecture,</w:t>
      </w:r>
      <w:r>
        <w:rPr>
          <w:rFonts w:hint="default"/>
          <w:lang w:val="en-IN"/>
        </w:rPr>
        <w:t xml:space="preserve"> </w:t>
      </w:r>
      <w:r>
        <w:t>Inductive</w:t>
      </w:r>
      <w:r>
        <w:rPr>
          <w:rFonts w:hint="default"/>
          <w:lang w:val="en-IN"/>
        </w:rPr>
        <w:t xml:space="preserve">, </w:t>
      </w:r>
      <w:r>
        <w:t>Deductive</w:t>
      </w:r>
      <w:r>
        <w:rPr>
          <w:rFonts w:hint="default"/>
          <w:lang w:val="en-IN"/>
        </w:rPr>
        <w:t xml:space="preserve">, </w:t>
      </w:r>
      <w:r>
        <w:t>Review lesson</w:t>
      </w:r>
      <w:r>
        <w:rPr>
          <w:rFonts w:hint="default"/>
          <w:lang w:val="en-IN"/>
        </w:rPr>
        <w:t xml:space="preserve">, </w:t>
      </w:r>
      <w:r>
        <w:t>Problem Solving</w:t>
      </w:r>
      <w:r>
        <w:rPr>
          <w:rFonts w:hint="default"/>
          <w:lang w:val="en-IN"/>
        </w:rPr>
        <w:t xml:space="preserve">, </w:t>
      </w:r>
      <w:r>
        <w:t>Drill-lesson</w:t>
      </w:r>
      <w:r>
        <w:rPr>
          <w:rFonts w:hint="default"/>
          <w:lang w:val="en-IN"/>
        </w:rPr>
        <w:t xml:space="preserve">, </w:t>
      </w:r>
      <w:r>
        <w:t>Analytic</w:t>
      </w:r>
      <w:r>
        <w:rPr>
          <w:rFonts w:hint="default"/>
          <w:lang w:val="en-IN"/>
        </w:rPr>
        <w:t>.</w:t>
      </w:r>
    </w:p>
    <w:p>
      <w:pPr>
        <w:pStyle w:val="7"/>
        <w:spacing w:line="240" w:lineRule="auto"/>
        <w:jc w:val="both"/>
      </w:pPr>
      <w:r>
        <w:rPr>
          <w:rFonts w:hint="default"/>
          <w:lang w:val="en-IN"/>
        </w:rPr>
        <w:drawing>
          <wp:anchor distT="0" distB="0" distL="114300" distR="114300" simplePos="0" relativeHeight="251659264" behindDoc="1" locked="0" layoutInCell="1" allowOverlap="1">
            <wp:simplePos x="0" y="0"/>
            <wp:positionH relativeFrom="column">
              <wp:posOffset>4396740</wp:posOffset>
            </wp:positionH>
            <wp:positionV relativeFrom="paragraph">
              <wp:posOffset>17780</wp:posOffset>
            </wp:positionV>
            <wp:extent cx="1170305" cy="507365"/>
            <wp:effectExtent l="0" t="0" r="3175" b="10795"/>
            <wp:wrapTight wrapText="bothSides">
              <wp:wrapPolygon>
                <wp:start x="0" y="0"/>
                <wp:lineTo x="0" y="20762"/>
                <wp:lineTo x="21377" y="20762"/>
                <wp:lineTo x="21377" y="0"/>
                <wp:lineTo x="0" y="0"/>
              </wp:wrapPolygon>
            </wp:wrapTight>
            <wp:docPr id="2" name="Picture 2" desc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
                    <pic:cNvPicPr>
                      <a:picLocks noChangeAspect="1"/>
                    </pic:cNvPicPr>
                  </pic:nvPicPr>
                  <pic:blipFill>
                    <a:blip r:embed="rId6">
                      <a:lum bright="12000" contrast="84000"/>
                    </a:blip>
                    <a:stretch>
                      <a:fillRect/>
                    </a:stretch>
                  </pic:blipFill>
                  <pic:spPr>
                    <a:xfrm>
                      <a:off x="0" y="0"/>
                      <a:ext cx="1170305" cy="507365"/>
                    </a:xfrm>
                    <a:prstGeom prst="rect">
                      <a:avLst/>
                    </a:prstGeom>
                    <a:noFill/>
                    <a:effectLst>
                      <a:glow>
                        <a:schemeClr val="accent1">
                          <a:alpha val="96000"/>
                        </a:schemeClr>
                      </a:glow>
                    </a:effectLst>
                  </pic:spPr>
                </pic:pic>
              </a:graphicData>
            </a:graphic>
          </wp:anchor>
        </w:drawing>
      </w:r>
      <w:r>
        <w:rPr>
          <w:b/>
        </w:rPr>
        <w:t xml:space="preserve">Teaching </w:t>
      </w:r>
      <w:r>
        <w:rPr>
          <w:b/>
          <w:bCs/>
        </w:rPr>
        <w:t>Aids</w:t>
      </w:r>
      <w:r>
        <w:rPr>
          <w:rFonts w:hint="default"/>
          <w:lang w:val="en-IN"/>
        </w:rPr>
        <w:t xml:space="preserve">: </w:t>
      </w:r>
      <w:r>
        <w:t>Compute</w:t>
      </w:r>
      <w:r>
        <w:rPr>
          <w:rFonts w:hint="default"/>
          <w:lang w:val="en-IN"/>
        </w:rPr>
        <w:t xml:space="preserve">r, </w:t>
      </w:r>
      <w:r>
        <w:t>LCD</w:t>
      </w:r>
      <w:r>
        <w:rPr>
          <w:rFonts w:hint="default"/>
          <w:lang w:val="en-IN"/>
        </w:rPr>
        <w:t xml:space="preserve">, </w:t>
      </w:r>
      <w:r>
        <w:t>PPT</w:t>
      </w:r>
      <w:r>
        <w:rPr>
          <w:rFonts w:hint="default"/>
          <w:lang w:val="en-IN"/>
        </w:rPr>
        <w:t xml:space="preserve">, </w:t>
      </w:r>
      <w:r>
        <w:t>Google Classroom</w:t>
      </w:r>
      <w:r>
        <w:rPr>
          <w:rFonts w:hint="default"/>
          <w:lang w:val="en-IN"/>
        </w:rPr>
        <w:t>,</w:t>
      </w:r>
      <w:r>
        <w:t>YouTube</w:t>
      </w:r>
    </w:p>
    <w:p>
      <w:pPr>
        <w:rPr>
          <w:rFonts w:hint="default"/>
          <w:lang w:val="en-IN"/>
        </w:rPr>
      </w:pPr>
      <w:r>
        <w:rPr>
          <w:rFonts w:hint="default"/>
          <w:lang w:val="en-IN"/>
        </w:rPr>
        <w:t xml:space="preserve">     </w:t>
      </w:r>
    </w:p>
    <w:p>
      <w:pPr>
        <w:ind w:firstLine="6600" w:firstLineChars="2750"/>
        <w:rPr>
          <w:rFonts w:hint="default"/>
          <w:lang w:val="en-IN"/>
        </w:rPr>
      </w:pPr>
      <w:bookmarkStart w:id="0" w:name="_GoBack"/>
      <w:bookmarkEnd w:id="0"/>
      <w:r>
        <w:rPr>
          <w:rFonts w:hint="default"/>
          <w:lang w:val="en-IN"/>
        </w:rPr>
        <w:drawing>
          <wp:anchor distT="0" distB="0" distL="114300" distR="114300" simplePos="0" relativeHeight="251660288" behindDoc="1" locked="0" layoutInCell="1" allowOverlap="1">
            <wp:simplePos x="0" y="0"/>
            <wp:positionH relativeFrom="column">
              <wp:posOffset>1051560</wp:posOffset>
            </wp:positionH>
            <wp:positionV relativeFrom="paragraph">
              <wp:posOffset>176530</wp:posOffset>
            </wp:positionV>
            <wp:extent cx="739140" cy="487045"/>
            <wp:effectExtent l="0" t="0" r="38100" b="31115"/>
            <wp:wrapTight wrapText="bothSides">
              <wp:wrapPolygon>
                <wp:start x="0" y="0"/>
                <wp:lineTo x="0" y="20952"/>
                <wp:lineTo x="21377" y="20952"/>
                <wp:lineTo x="21377" y="0"/>
                <wp:lineTo x="0" y="0"/>
              </wp:wrapPolygon>
            </wp:wrapTight>
            <wp:docPr id="4" name="Picture 4" descr="WhatsApp Image 2024-05-21 at 12.38.2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4-05-21 at 12.38.20 PM"/>
                    <pic:cNvPicPr>
                      <a:picLocks noChangeAspect="1"/>
                    </pic:cNvPicPr>
                  </pic:nvPicPr>
                  <pic:blipFill>
                    <a:blip r:embed="rId7">
                      <a:lum contrast="48000"/>
                    </a:blip>
                    <a:stretch>
                      <a:fillRect/>
                    </a:stretch>
                  </pic:blipFill>
                  <pic:spPr>
                    <a:xfrm>
                      <a:off x="0" y="0"/>
                      <a:ext cx="739140" cy="487045"/>
                    </a:xfrm>
                    <a:prstGeom prst="rect">
                      <a:avLst/>
                    </a:prstGeom>
                  </pic:spPr>
                </pic:pic>
              </a:graphicData>
            </a:graphic>
          </wp:anchor>
        </w:drawing>
      </w:r>
      <w:r>
        <w:rPr>
          <w:rFonts w:hint="default"/>
          <w:lang w:val="en-IN"/>
        </w:rPr>
        <w:t>Prof. (Dr.) R. K. Nimat</w:t>
      </w:r>
    </w:p>
    <w:sectPr>
      <w:pgSz w:w="11907" w:h="16839"/>
      <w:pgMar w:top="652" w:right="1008" w:bottom="986" w:left="1584"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26CF7"/>
    <w:rsid w:val="09774E16"/>
    <w:rsid w:val="0FC23598"/>
    <w:rsid w:val="240C6472"/>
    <w:rsid w:val="2DF978AD"/>
    <w:rsid w:val="3D826CF7"/>
    <w:rsid w:val="3F35089F"/>
    <w:rsid w:val="48BD520B"/>
    <w:rsid w:val="529F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outlineLvl w:val="0"/>
    </w:pPr>
    <w:rPr>
      <w:b/>
      <w:bCs/>
      <w:sz w:val="22"/>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b/>
      <w:bCs/>
    </w:rPr>
  </w:style>
  <w:style w:type="table" w:styleId="6">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2024-05-21T05:06:00Z</dcterms:created>
  <dc:creator>Dr. Rajesh K Nimat</dc:creator>
  <cp:lastModifiedBy>Dr. Rajesh K Nimat</cp:lastModifiedBy>
  <dcterms:modified xsi:type="dcterms:W3CDTF">2024-05-21T07:11:16Z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E2B3193749F942C99407FCA532A03E1E_11</vt:lpwstr>
  </property>
</Properties>
</file>